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О внесении изменений в 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от 16 февраля 2016 года № 111-па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01/11/01-23/00003220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"https://regulation-new.primorsky.ru/projects#npa=3220"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https://regulation-new.primorsky.ru/projects#npa=3220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19.01.2023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30.01.2023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2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02.02.2023 в 11:42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Принятие НПА обосновано.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2.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Полезным эффектом в случае принятия НПА будет возможность участия самозанятых граждан без аукциона  при предоставлении мест для размещения нестационарных торговых объектов.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3.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Таких сведений не имею.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4.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Да, все определения понятны и корректны.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5.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Предельно понятны.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6.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Существенных материальных и временных издержек не просматривается.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7.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Переходный период не требуется.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8.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Бондаренко Оксана bondarenko_partizansk@mail.ru (bondarenko_partizansk@mail.ru)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 предложений и замечаний.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9.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Да, в Проекте рассмотрены требования к размещению и внешнему виду НТО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10.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Дает право самозанятому гражданину на размещение НТО без проведения аукциона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11.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Нет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12.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Да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13.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Все понятно и доступно.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14.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Считаю не повлечет.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15.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Переходного периода не требуется.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  <w:tr w:rsidRPr="009D5E65" w:rsidR="009D5E65" w:rsidTr="00A42C29">
          <w:tc>
            <w:tcPr>
              <w:tcW w:w="241" w:type="pct"/>
            </w:tcPr>
            <w:p w:rsidRPr="009D5E65" w:rsidR="009D5E65" w:rsidP="00624BE2" w:rsidRDefault="009D5E65">
              <w:pPr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lang w:val="en-US"/>
                </w:rPr>
                <w:t>16.</w:t>
              </w:r>
            </w:p>
          </w:tc>
          <w:tc>
            <w:tcPr>
              <w:tcW w:w="646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</w:rPr>
                <w:t>Пирогова Екатерина  (strelec78@bk.ru)</w:t>
              </w:r>
            </w:p>
          </w:tc>
          <w:tc>
            <w:tcPr>
              <w:tcW w:w="1933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>Отсутствуют.</w:t>
              </w:r>
            </w:p>
          </w:tc>
          <w:tc>
            <w:tcPr>
              <w:tcW w:w="1691" w:type="pct"/>
            </w:tcPr>
            <w:p w:rsidRPr="009D5E65" w:rsidR="009D5E65" w:rsidP="00624BE2" w:rsidRDefault="009D5E65">
              <w:pPr>
                <w:rPr>
                  <w:rFonts w:ascii="Times New Roman" w:hAnsi="Times New Roman" w:cs="Times New Roman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</w:rPr>
                <w:t/>
              </w:r>
            </w:p>
          </w:tc>
          <w:tc>
            <w:tcPr>
              <w:tcW w:w="490" w:type="pct"/>
            </w:tcPr>
            <w:p w:rsidRPr="009D5E65" w:rsidR="009D5E65" w:rsidP="00624BE2" w:rsidRDefault="009D5E65">
              <w:pPr>
                <w:rPr>
                  <w:rStyle w:val="pt-000004"/>
                  <w:rFonts w:ascii="Times New Roman" w:hAnsi="Times New Roman" w:cs="Times New Roman"/>
                  <w:lang w:val="en-US"/>
                </w:rPr>
              </w:pPr>
              <w:r w:rsidRPr="009D5E65">
                <w:rPr>
                  <w:rStyle w:val="pt-000004"/>
                  <w:rFonts w:ascii="Times New Roman" w:hAnsi="Times New Roman" w:cs="Times New Roman"/>
                  <w:lang w:val="en-US"/>
                </w:rPr>
                <w:t>Учтено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16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16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Уполномоченный по защите прав предпринимателей в Приморском крае (ombudsman@primorsky.ru); Общественная организация предпринимателей города Партизанска (mikhail_koshelya@mail.ru); Приморское краевое отделение «ОПОРА РОССИИ»  (prim@opora.ru)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